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E1A52" w14:textId="582C5842" w:rsidR="00355552" w:rsidRPr="00355552" w:rsidRDefault="00355552" w:rsidP="00355552">
      <w:pPr>
        <w:jc w:val="both"/>
        <w:rPr>
          <w:b/>
          <w:bCs/>
        </w:rPr>
      </w:pPr>
      <w:r w:rsidRPr="00355552">
        <w:rPr>
          <w:b/>
          <w:bCs/>
        </w:rPr>
        <w:t>¿CHAO PRÉSTAMO? MEJOR CHAO PROMESAS SIN FINANCIAMIENTO</w:t>
      </w:r>
    </w:p>
    <w:p w14:paraId="60746A51" w14:textId="77777777" w:rsidR="00355552" w:rsidRPr="00355552" w:rsidRDefault="00355552" w:rsidP="00355552">
      <w:pPr>
        <w:jc w:val="both"/>
      </w:pPr>
      <w:r w:rsidRPr="00355552">
        <w:t>A fines de 2021, en un clima político muy crispado, el gobierno y el Congreso aprobaron la mejora de pensiones más significativa desde el retorno a la democracia: la creación de la Pensión Garantizada Universal (PGU), que más que duplicó los recursos destinados al pilar solidario. Si bien se aprobaron nuevos impuestos para financiarla, desde ese momento quedó instalada la duda sobre su sostenibilidad, debido principalmente al rápido envejecimiento de la población. De todas formas, se alcanzó el objetivo de mejorar de manera sustantiva las pensiones, especialmente de los grupos con menor ahorro previsional, que en muchos casos lograron tasas de reemplazo superiores al 100%, a pesar del efecto negativo de los retiros de fondos previsionales.</w:t>
      </w:r>
    </w:p>
    <w:p w14:paraId="6D1F9DE8" w14:textId="77777777" w:rsidR="00355552" w:rsidRPr="00355552" w:rsidRDefault="00355552" w:rsidP="00355552">
      <w:pPr>
        <w:jc w:val="both"/>
      </w:pPr>
      <w:r w:rsidRPr="00355552">
        <w:t>En marzo de 2022 comenzó el actual gobierno, en medio de los efectos del populismo promovido por ellos mismos: los retiros, el IFE y los anuncios de nuevos giros, que el Ejecutivo intentó frenar con un proyecto de “retiro acotado”. La iniciativa fue rechazada tanto por la oposición como por parte de los propios diputados oficialistas, estos últimos en contra de que el retiro tuviera limitaciones.</w:t>
      </w:r>
    </w:p>
    <w:p w14:paraId="70F9D07A" w14:textId="6DC1B8ED" w:rsidR="00355552" w:rsidRPr="00355552" w:rsidRDefault="00355552" w:rsidP="00355552">
      <w:pPr>
        <w:jc w:val="both"/>
      </w:pPr>
      <w:r w:rsidRPr="00355552">
        <w:t>En este ambiente irresponsable y refundacional, el gobierno presentó una propuesta muy radical de reforma de pensiones</w:t>
      </w:r>
      <w:r>
        <w:t>, que</w:t>
      </w:r>
      <w:r w:rsidRPr="00355552">
        <w:t xml:space="preserve"> derogaba el DL 3.500, ponía fin a las AFP y establecía que el total de la cotización adicional se destinaría a un componente estatal de seguro social (reparto) para mejorar las pensiones actuales. Además, se proponía un aumento adicional de la PGU, entre </w:t>
      </w:r>
      <w:r>
        <w:t>otros cambios muy radicales</w:t>
      </w:r>
      <w:r w:rsidRPr="00355552">
        <w:t>. ¿Y cómo se financiaría todo esto? Con la también refundacional —y posteriormente rechazada— reforma tributaria.</w:t>
      </w:r>
    </w:p>
    <w:p w14:paraId="4C3C1BE3" w14:textId="3A1F0287" w:rsidR="00355552" w:rsidRDefault="00355552" w:rsidP="00355552">
      <w:pPr>
        <w:jc w:val="both"/>
        <w:rPr>
          <w:lang w:val="es-ES"/>
        </w:rPr>
      </w:pPr>
      <w:r>
        <w:rPr>
          <w:lang w:val="es-ES"/>
        </w:rPr>
        <w:t>Una de las graves falencias de esta propuesta previsional era que no tomaba en cuenta los efectos que estaba teniendo en las pensiones la reciente creación de la PGU, por lo que la oposición en pleno se sumó al discurso de seguir mejorando las actuales pensiones, no a través del reparto, sino via PGU y gasto público, dejando de lado el efecto negativo que eso podría tener en los incentivos a cotizar, y sin considerar tampoco los problemas de sostenibilidad fiscal que se producirían.</w:t>
      </w:r>
    </w:p>
    <w:p w14:paraId="5F9F2345" w14:textId="77777777" w:rsidR="00355552" w:rsidRDefault="00355552" w:rsidP="00355552">
      <w:pPr>
        <w:jc w:val="both"/>
        <w:rPr>
          <w:lang w:val="es-ES"/>
        </w:rPr>
      </w:pPr>
      <w:r>
        <w:rPr>
          <w:lang w:val="es-ES"/>
        </w:rPr>
        <w:t>En forma muy tardía, en enero de 2024, la Superintendencia de Pensiones dio a conocer un estudio, cuyos resultados desaconsejaban seguir mejorando las actuales pensiones, debido a que las tasas de reemplazo proyectadas resultaban inferiores a las actuales, a lo que se sumaba una clara tendencia al deterioro fiscal.</w:t>
      </w:r>
    </w:p>
    <w:p w14:paraId="5300F0E5" w14:textId="77777777" w:rsidR="00355552" w:rsidRPr="00355552" w:rsidRDefault="00355552" w:rsidP="00355552">
      <w:pPr>
        <w:jc w:val="both"/>
      </w:pPr>
      <w:r w:rsidRPr="00355552">
        <w:lastRenderedPageBreak/>
        <w:t>Lamentablemente, la promesa política de mejores pensiones ya estaba instalada: una promesa irresponsable y sin sustento técnico por parte del gobierno, validada también por la oposición, aunque sin acuerdo sobre la forma de financiamiento.</w:t>
      </w:r>
    </w:p>
    <w:p w14:paraId="662655EF" w14:textId="307AE8CF" w:rsidR="00355552" w:rsidRPr="00355552" w:rsidRDefault="00355552" w:rsidP="00355552">
      <w:pPr>
        <w:jc w:val="both"/>
      </w:pPr>
      <w:r w:rsidRPr="00355552">
        <w:t xml:space="preserve">Como parte de la Mesa Técnica asesora de la Comisión de Trabajo del Senado, se nos encomendó alcanzar un acuerdo técnico sobre los mecanismos más eficaces y eficientes para cumplir esa promesa. El desafío debía considerar un contexto complejo, en el que era </w:t>
      </w:r>
      <w:r>
        <w:t>necesario</w:t>
      </w:r>
      <w:r w:rsidRPr="00355552">
        <w:t xml:space="preserve"> resguardar la responsabilidad fiscal y </w:t>
      </w:r>
      <w:r>
        <w:t>cuidar</w:t>
      </w:r>
      <w:r w:rsidRPr="00355552">
        <w:t xml:space="preserve"> los incentivos a cotizar.</w:t>
      </w:r>
    </w:p>
    <w:p w14:paraId="67BB9C5F" w14:textId="0C784D8F" w:rsidR="00355552" w:rsidRPr="00355552" w:rsidRDefault="00355552" w:rsidP="00355552">
      <w:pPr>
        <w:jc w:val="both"/>
      </w:pPr>
      <w:r w:rsidRPr="00355552">
        <w:t xml:space="preserve">Es evidente que no existe un mecanismo sin costos para financiar gasto en un escenario de déficit fiscal y deuda pública creciente. Esto obliga a buscar un </w:t>
      </w:r>
      <w:proofErr w:type="spellStart"/>
      <w:r w:rsidRPr="00355552">
        <w:t>mix</w:t>
      </w:r>
      <w:proofErr w:type="spellEnd"/>
      <w:r w:rsidRPr="00355552">
        <w:t xml:space="preserve"> de instrumentos con los menores efectos colaterales posibles y, además, que sea políticamente viable, permitiendo un acuerdo que había sido esquivo por más de una década. Así se llegó a la fórmula del préstamo de los cotizantes al Estado para financiar una política que, por primera vez, busca crear incentivos a cotizar. ¿Existe riesgo de que el préstamo no se pague? Sí</w:t>
      </w:r>
      <w:r>
        <w:t>;</w:t>
      </w:r>
      <w:r w:rsidRPr="00355552">
        <w:t xml:space="preserve"> si los próximos gobiernos no se toman en serio la necesidad de controlar el gasto, ese riesgo está presente. Para mitigarlo, es indispensable recuperar la sostenibilidad fiscal, que se perdió cuando quienes hoy gobiernan privilegiaron un voluntarismo adolescente, sin límites para demandar más y más gasto público, financiado con reformas tributarias deficientes.</w:t>
      </w:r>
    </w:p>
    <w:p w14:paraId="236ACD98" w14:textId="77777777" w:rsidR="00355552" w:rsidRPr="00355552" w:rsidRDefault="00355552" w:rsidP="00355552">
      <w:pPr>
        <w:jc w:val="both"/>
      </w:pPr>
      <w:r w:rsidRPr="00355552">
        <w:t>El problema no desaparece si, en vez del préstamo, la garantía por años cotizados se financia con deuda pública. Los efectos podrían ser incluso peores si se deteriora el riesgo país y suben las tasas de interés de largo plazo, reduciendo no solo el valor de los activos previsionales, sino afectando también a toda la economía. Además, no podemos ignorar que el préstamo hizo posible un acuerdo político que, de otra forma, no habría existido, y sin el cual no habría mejores pensiones ni ahora ni en el futuro.</w:t>
      </w:r>
    </w:p>
    <w:p w14:paraId="535DF4F8" w14:textId="77777777" w:rsidR="00355552" w:rsidRPr="00355552" w:rsidRDefault="00355552" w:rsidP="00355552">
      <w:pPr>
        <w:jc w:val="both"/>
      </w:pPr>
      <w:r w:rsidRPr="00355552">
        <w:t>¿La moraleja de esta historia? Debemos volver a hacer reformas serias, con sustento técnico, para que no tengamos que discutir cuál escenario futuro es el menos malo, sino para tener certeza de que se está legislando realmente en favor de las generaciones actuales y futuras.</w:t>
      </w:r>
    </w:p>
    <w:p w14:paraId="00E5A86B" w14:textId="77777777" w:rsidR="000F6367" w:rsidRPr="00355552" w:rsidRDefault="000F6367" w:rsidP="00355552">
      <w:pPr>
        <w:jc w:val="both"/>
      </w:pPr>
    </w:p>
    <w:sectPr w:rsidR="000F6367" w:rsidRPr="0035555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552"/>
    <w:rsid w:val="00061AC1"/>
    <w:rsid w:val="000F6367"/>
    <w:rsid w:val="001626B3"/>
    <w:rsid w:val="00355552"/>
    <w:rsid w:val="006368E5"/>
    <w:rsid w:val="007C504C"/>
    <w:rsid w:val="009420DA"/>
    <w:rsid w:val="00BD0075"/>
    <w:rsid w:val="00C744FD"/>
    <w:rsid w:val="00FD073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01F68"/>
  <w15:chartTrackingRefBased/>
  <w15:docId w15:val="{07D46BEA-5C99-42D3-B564-D2FB455F7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555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555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5555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5555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5555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5555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5555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5555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5555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5555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5555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5555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5555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5555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5555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5555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5555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55552"/>
    <w:rPr>
      <w:rFonts w:eastAsiaTheme="majorEastAsia" w:cstheme="majorBidi"/>
      <w:color w:val="272727" w:themeColor="text1" w:themeTint="D8"/>
    </w:rPr>
  </w:style>
  <w:style w:type="paragraph" w:styleId="Ttulo">
    <w:name w:val="Title"/>
    <w:basedOn w:val="Normal"/>
    <w:next w:val="Normal"/>
    <w:link w:val="TtuloCar"/>
    <w:uiPriority w:val="10"/>
    <w:qFormat/>
    <w:rsid w:val="003555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5555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5555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5555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55552"/>
    <w:pPr>
      <w:spacing w:before="160"/>
      <w:jc w:val="center"/>
    </w:pPr>
    <w:rPr>
      <w:i/>
      <w:iCs/>
      <w:color w:val="404040" w:themeColor="text1" w:themeTint="BF"/>
    </w:rPr>
  </w:style>
  <w:style w:type="character" w:customStyle="1" w:styleId="CitaCar">
    <w:name w:val="Cita Car"/>
    <w:basedOn w:val="Fuentedeprrafopredeter"/>
    <w:link w:val="Cita"/>
    <w:uiPriority w:val="29"/>
    <w:rsid w:val="00355552"/>
    <w:rPr>
      <w:i/>
      <w:iCs/>
      <w:color w:val="404040" w:themeColor="text1" w:themeTint="BF"/>
    </w:rPr>
  </w:style>
  <w:style w:type="paragraph" w:styleId="Prrafodelista">
    <w:name w:val="List Paragraph"/>
    <w:basedOn w:val="Normal"/>
    <w:uiPriority w:val="34"/>
    <w:qFormat/>
    <w:rsid w:val="00355552"/>
    <w:pPr>
      <w:ind w:left="720"/>
      <w:contextualSpacing/>
    </w:pPr>
  </w:style>
  <w:style w:type="character" w:styleId="nfasisintenso">
    <w:name w:val="Intense Emphasis"/>
    <w:basedOn w:val="Fuentedeprrafopredeter"/>
    <w:uiPriority w:val="21"/>
    <w:qFormat/>
    <w:rsid w:val="00355552"/>
    <w:rPr>
      <w:i/>
      <w:iCs/>
      <w:color w:val="0F4761" w:themeColor="accent1" w:themeShade="BF"/>
    </w:rPr>
  </w:style>
  <w:style w:type="paragraph" w:styleId="Citadestacada">
    <w:name w:val="Intense Quote"/>
    <w:basedOn w:val="Normal"/>
    <w:next w:val="Normal"/>
    <w:link w:val="CitadestacadaCar"/>
    <w:uiPriority w:val="30"/>
    <w:qFormat/>
    <w:rsid w:val="003555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55552"/>
    <w:rPr>
      <w:i/>
      <w:iCs/>
      <w:color w:val="0F4761" w:themeColor="accent1" w:themeShade="BF"/>
    </w:rPr>
  </w:style>
  <w:style w:type="character" w:styleId="Referenciaintensa">
    <w:name w:val="Intense Reference"/>
    <w:basedOn w:val="Fuentedeprrafopredeter"/>
    <w:uiPriority w:val="32"/>
    <w:qFormat/>
    <w:rsid w:val="003555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738</Words>
  <Characters>4059</Characters>
  <Application>Microsoft Office Word</Application>
  <DocSecurity>0</DocSecurity>
  <Lines>33</Lines>
  <Paragraphs>9</Paragraphs>
  <ScaleCrop>false</ScaleCrop>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Cecilia Cifuentes Hurtado</dc:creator>
  <cp:keywords/>
  <dc:description/>
  <cp:lastModifiedBy>Maximiliano Raimundo Villalobos</cp:lastModifiedBy>
  <cp:revision>2</cp:revision>
  <dcterms:created xsi:type="dcterms:W3CDTF">2025-09-26T15:37:00Z</dcterms:created>
  <dcterms:modified xsi:type="dcterms:W3CDTF">2025-09-26T15:37:00Z</dcterms:modified>
</cp:coreProperties>
</file>