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0A7C" w14:textId="46CDE6DF" w:rsidR="00837B86" w:rsidRDefault="00837B86" w:rsidP="00EB34DD">
      <w:pPr>
        <w:jc w:val="both"/>
        <w:rPr>
          <w:b/>
          <w:bCs/>
          <w:lang w:val="es-ES"/>
        </w:rPr>
      </w:pPr>
      <w:r w:rsidRPr="00837B86">
        <w:rPr>
          <w:b/>
          <w:bCs/>
          <w:lang w:val="es-ES"/>
        </w:rPr>
        <w:t>PERMISOLOGÍA: AVANZA</w:t>
      </w:r>
      <w:r>
        <w:rPr>
          <w:b/>
          <w:bCs/>
          <w:lang w:val="es-ES"/>
        </w:rPr>
        <w:t>MOS</w:t>
      </w:r>
      <w:r w:rsidRPr="00837B86">
        <w:rPr>
          <w:b/>
          <w:bCs/>
          <w:lang w:val="es-ES"/>
        </w:rPr>
        <w:t xml:space="preserve"> EN INVERSIÓN</w:t>
      </w:r>
      <w:r w:rsidR="007032FF">
        <w:rPr>
          <w:b/>
          <w:bCs/>
          <w:lang w:val="es-ES"/>
        </w:rPr>
        <w:t xml:space="preserve"> ¿Y CUANDO EN </w:t>
      </w:r>
      <w:r w:rsidRPr="00837B86">
        <w:rPr>
          <w:b/>
          <w:bCs/>
          <w:lang w:val="es-ES"/>
        </w:rPr>
        <w:t>EDUCACIÓN</w:t>
      </w:r>
      <w:r w:rsidR="007032FF">
        <w:rPr>
          <w:b/>
          <w:bCs/>
          <w:lang w:val="es-ES"/>
        </w:rPr>
        <w:t>?</w:t>
      </w:r>
    </w:p>
    <w:p w14:paraId="35DED1F7" w14:textId="24832481" w:rsidR="0094440B" w:rsidRDefault="00D41BC9" w:rsidP="00EB34DD">
      <w:pPr>
        <w:jc w:val="both"/>
      </w:pPr>
      <w:r>
        <w:rPr>
          <w:lang w:val="es-ES"/>
        </w:rPr>
        <w:t xml:space="preserve">La educación, entendida en </w:t>
      </w:r>
      <w:r w:rsidR="007B1925">
        <w:rPr>
          <w:lang w:val="es-ES"/>
        </w:rPr>
        <w:t>un</w:t>
      </w:r>
      <w:r>
        <w:rPr>
          <w:lang w:val="es-ES"/>
        </w:rPr>
        <w:t xml:space="preserve"> sentido amplio, </w:t>
      </w:r>
      <w:r w:rsidR="00A04364">
        <w:rPr>
          <w:lang w:val="es-ES"/>
        </w:rPr>
        <w:t>es la condición fundamental del desarrollo humano, t</w:t>
      </w:r>
      <w:r w:rsidR="00155D50">
        <w:rPr>
          <w:lang w:val="es-ES"/>
        </w:rPr>
        <w:t xml:space="preserve">al como planteó Monseñor Fernando Chomalí en el Te Deum </w:t>
      </w:r>
      <w:r w:rsidR="00842991">
        <w:rPr>
          <w:lang w:val="es-ES"/>
        </w:rPr>
        <w:t>pasado</w:t>
      </w:r>
      <w:r w:rsidR="007377FC">
        <w:rPr>
          <w:lang w:val="es-ES"/>
        </w:rPr>
        <w:t xml:space="preserve">, cuando </w:t>
      </w:r>
      <w:r w:rsidR="00817B7D" w:rsidRPr="00817B7D">
        <w:t>destacó la educación como fundamento del futuro de Chile</w:t>
      </w:r>
      <w:r w:rsidR="00817B7D">
        <w:rPr>
          <w:lang w:val="es-ES"/>
        </w:rPr>
        <w:t>:</w:t>
      </w:r>
      <w:r w:rsidR="0033391A" w:rsidRPr="0033391A">
        <w:rPr>
          <w:lang w:val="es-ES"/>
        </w:rPr>
        <w:t xml:space="preserve"> "La ignorancia es la causante de gran parte de los males que nos aquejan como sociedad, como la ausencia de diálogo, la violencia, el desprecio por la vida, la cultura de la cancelación, la corrupción y la frivolidad"</w:t>
      </w:r>
      <w:r w:rsidR="007377FC">
        <w:rPr>
          <w:lang w:val="es-ES"/>
        </w:rPr>
        <w:t>.</w:t>
      </w:r>
    </w:p>
    <w:p w14:paraId="230C742C" w14:textId="3CAA0167" w:rsidR="00453627" w:rsidRDefault="003666FB" w:rsidP="00EB34DD">
      <w:pPr>
        <w:jc w:val="both"/>
      </w:pPr>
      <w:r>
        <w:t xml:space="preserve">Tenemos en esta materia un </w:t>
      </w:r>
      <w:r w:rsidR="00856287">
        <w:t xml:space="preserve">gran </w:t>
      </w:r>
      <w:r>
        <w:t>desafío</w:t>
      </w:r>
      <w:r w:rsidR="000063D4">
        <w:t>;</w:t>
      </w:r>
      <w:r>
        <w:t xml:space="preserve"> </w:t>
      </w:r>
      <w:r w:rsidR="00856287">
        <w:t>de acuerdo con la OCDE,</w:t>
      </w:r>
      <w:r>
        <w:t xml:space="preserve"> </w:t>
      </w:r>
      <w:r w:rsidR="00751625">
        <w:t xml:space="preserve">en Chile </w:t>
      </w:r>
      <w:r>
        <w:t xml:space="preserve">un 70% de los adultos no tiene las habilidades </w:t>
      </w:r>
      <w:r w:rsidR="00D2510B">
        <w:t xml:space="preserve">necesarias para tener un buen desempeño en un mundo laboral cada vez más exigente. </w:t>
      </w:r>
      <w:r w:rsidR="009D2D3C">
        <w:t xml:space="preserve">Por otra parte, un reciente estudio de la FNE muestra que </w:t>
      </w:r>
      <w:r w:rsidR="00991F46">
        <w:t xml:space="preserve">para el </w:t>
      </w:r>
      <w:r w:rsidR="00991F46" w:rsidRPr="00991F46">
        <w:t xml:space="preserve">40% de los estudiantes de </w:t>
      </w:r>
      <w:r w:rsidR="00991F46">
        <w:t>educación superior</w:t>
      </w:r>
      <w:r w:rsidR="006D3119">
        <w:t xml:space="preserve"> </w:t>
      </w:r>
      <w:r w:rsidR="00CA0F68">
        <w:t xml:space="preserve">el título obtenido </w:t>
      </w:r>
      <w:r w:rsidR="00626CB6" w:rsidRPr="00626CB6">
        <w:t xml:space="preserve">no genera un diferencial de ingresos que compense </w:t>
      </w:r>
      <w:r w:rsidR="00AE76AC">
        <w:t xml:space="preserve">los costos de </w:t>
      </w:r>
      <w:r w:rsidR="00626CB6" w:rsidRPr="00626CB6">
        <w:t>haber estudiado</w:t>
      </w:r>
      <w:r w:rsidR="00626CB6">
        <w:t xml:space="preserve"> </w:t>
      </w:r>
      <w:r w:rsidR="00AF36C6">
        <w:t>¿</w:t>
      </w:r>
      <w:r w:rsidR="00777549">
        <w:t>Cuáles son las causas de un resultado tan desalentador?</w:t>
      </w:r>
    </w:p>
    <w:p w14:paraId="72BD07B9" w14:textId="55774C3E" w:rsidR="00777549" w:rsidRDefault="00BC4FC7" w:rsidP="00EB34DD">
      <w:pPr>
        <w:jc w:val="both"/>
      </w:pPr>
      <w:r>
        <w:t>S</w:t>
      </w:r>
      <w:r w:rsidR="00777549">
        <w:t xml:space="preserve">e podría pensar que </w:t>
      </w:r>
      <w:r w:rsidR="00D84E56">
        <w:t>lo anterior se explica por carreras excesivamente largas</w:t>
      </w:r>
      <w:r>
        <w:t>.</w:t>
      </w:r>
      <w:r w:rsidR="00D84E56">
        <w:t xml:space="preserve"> </w:t>
      </w:r>
      <w:r>
        <w:t>N</w:t>
      </w:r>
      <w:r w:rsidR="00D84E56">
        <w:t xml:space="preserve">o es así, ya que los resultados </w:t>
      </w:r>
      <w:r w:rsidR="002A1AC7">
        <w:t xml:space="preserve">son peores para la </w:t>
      </w:r>
      <w:r w:rsidR="00564945">
        <w:t>educación</w:t>
      </w:r>
      <w:r w:rsidR="002A1AC7">
        <w:t xml:space="preserve"> técnica de corta duración que para </w:t>
      </w:r>
      <w:r w:rsidR="00564945">
        <w:t xml:space="preserve">la educación universitaria. </w:t>
      </w:r>
      <w:r w:rsidR="005E2DBC">
        <w:t>En concreto</w:t>
      </w:r>
      <w:r w:rsidR="00FD0EAA">
        <w:t>, l</w:t>
      </w:r>
      <w:r w:rsidR="005E2DBC" w:rsidRPr="005E2DBC">
        <w:t xml:space="preserve">a </w:t>
      </w:r>
      <w:r w:rsidR="005E2DBC" w:rsidRPr="00FD0EAA">
        <w:t>prima salarial</w:t>
      </w:r>
      <w:r w:rsidR="005E2DBC" w:rsidRPr="005E2DBC">
        <w:t xml:space="preserve"> </w:t>
      </w:r>
      <w:r w:rsidR="00273393" w:rsidRPr="005E2DBC">
        <w:t xml:space="preserve">de las universidades </w:t>
      </w:r>
      <w:r w:rsidR="005E2DBC" w:rsidRPr="005E2DBC">
        <w:t>(el valor adicional que la carrera añade al sueldo) es más del doble que la del sistema técnico profesional</w:t>
      </w:r>
      <w:r w:rsidR="00D17DE2">
        <w:t>.</w:t>
      </w:r>
      <w:r w:rsidR="00781F67">
        <w:t xml:space="preserve"> ¿Qué puede explicar este resultado? La hipótesis más plausible es que el problema se encuentra en la educación escolar, </w:t>
      </w:r>
      <w:r w:rsidR="00DB6D20">
        <w:t>cuya</w:t>
      </w:r>
      <w:r w:rsidR="00C37179">
        <w:t>s</w:t>
      </w:r>
      <w:r w:rsidR="00DB6D20">
        <w:t xml:space="preserve"> profunda</w:t>
      </w:r>
      <w:r w:rsidR="00C37179">
        <w:t>s</w:t>
      </w:r>
      <w:r w:rsidR="00DB6D20">
        <w:t xml:space="preserve"> deficiencia</w:t>
      </w:r>
      <w:r w:rsidR="00C37179">
        <w:t>s</w:t>
      </w:r>
      <w:r w:rsidR="00DB6D20">
        <w:t xml:space="preserve"> lleva</w:t>
      </w:r>
      <w:r w:rsidR="00C37179">
        <w:t>n</w:t>
      </w:r>
      <w:r w:rsidR="00DB6D20">
        <w:t xml:space="preserve"> a que pocos años de educación superior no logren </w:t>
      </w:r>
      <w:r w:rsidR="007F4108">
        <w:t xml:space="preserve">cerrar el déficit de habilidades </w:t>
      </w:r>
      <w:r w:rsidR="007537D4">
        <w:t>necesarias</w:t>
      </w:r>
      <w:r w:rsidR="007F4108">
        <w:t xml:space="preserve"> para un buen desempeño laboral</w:t>
      </w:r>
      <w:r w:rsidR="00422C97">
        <w:t xml:space="preserve">, </w:t>
      </w:r>
      <w:r w:rsidR="00BD45EA" w:rsidRPr="00BD45EA">
        <w:t>y que un período más largo sí permite cerrar esas brechas</w:t>
      </w:r>
      <w:r w:rsidR="00E44568">
        <w:t xml:space="preserve">. Sin embargo, el costo para el país </w:t>
      </w:r>
      <w:r w:rsidR="00CD1489">
        <w:t xml:space="preserve">de esta deficiencia en la educación escolar </w:t>
      </w:r>
      <w:r w:rsidR="00E44568">
        <w:t>es enorme</w:t>
      </w:r>
      <w:r w:rsidR="0059657D">
        <w:t xml:space="preserve">, y además creciente en el tiempo. </w:t>
      </w:r>
      <w:r w:rsidR="00197037">
        <w:t>El</w:t>
      </w:r>
      <w:r w:rsidR="0059657D">
        <w:t xml:space="preserve"> gasto </w:t>
      </w:r>
      <w:r w:rsidR="00C274FE">
        <w:t xml:space="preserve">del gobierno central en educación </w:t>
      </w:r>
      <w:r w:rsidR="00FB3F1F">
        <w:t>-</w:t>
      </w:r>
      <w:r w:rsidR="00C274FE">
        <w:t>moneda de igual valor</w:t>
      </w:r>
      <w:r w:rsidR="00FB3F1F">
        <w:t>-</w:t>
      </w:r>
      <w:r w:rsidR="00C274FE">
        <w:t xml:space="preserve"> </w:t>
      </w:r>
      <w:r w:rsidR="00B512F0">
        <w:t xml:space="preserve">entre 2010 y 2024, prácticamente se duplicó. Hemos sumado al presupuesto anual </w:t>
      </w:r>
      <w:r w:rsidR="00856F1E">
        <w:t xml:space="preserve">de educación </w:t>
      </w:r>
      <w:r w:rsidR="00752C08">
        <w:t>más de US$ 8.000 millones, sin un aumento de calidad y cobertura que justifique tamaña inversió</w:t>
      </w:r>
      <w:r w:rsidR="002D136A">
        <w:t>n</w:t>
      </w:r>
      <w:r w:rsidR="007A40AD">
        <w:t xml:space="preserve">. De ese monto, </w:t>
      </w:r>
      <w:r w:rsidR="00424ECA">
        <w:t xml:space="preserve">un 65% se destinó a </w:t>
      </w:r>
      <w:r w:rsidR="00CF3C6C">
        <w:t>educación escolar.</w:t>
      </w:r>
      <w:r w:rsidR="00E67FBC">
        <w:t xml:space="preserve"> </w:t>
      </w:r>
      <w:r w:rsidR="002D136A">
        <w:t xml:space="preserve"> </w:t>
      </w:r>
      <w:r w:rsidR="00AE3501">
        <w:t xml:space="preserve">Pareciera </w:t>
      </w:r>
      <w:r w:rsidR="001813F2">
        <w:t xml:space="preserve">entonces </w:t>
      </w:r>
      <w:r w:rsidR="00AE3501">
        <w:t xml:space="preserve">que parte importante de ese esfuerzo de los contribuyentes </w:t>
      </w:r>
      <w:r w:rsidR="002D136A">
        <w:t>se “bot</w:t>
      </w:r>
      <w:r w:rsidR="007537D4">
        <w:t>a</w:t>
      </w:r>
      <w:r w:rsidR="002D136A">
        <w:t xml:space="preserve"> a la basura”. </w:t>
      </w:r>
      <w:r w:rsidR="00AE3501">
        <w:t xml:space="preserve"> </w:t>
      </w:r>
      <w:r w:rsidR="00C274FE">
        <w:t xml:space="preserve"> </w:t>
      </w:r>
    </w:p>
    <w:p w14:paraId="52EEF2B8" w14:textId="3C59CAD7" w:rsidR="006C0077" w:rsidRDefault="00D10E5B" w:rsidP="00EB34DD">
      <w:pPr>
        <w:jc w:val="both"/>
      </w:pPr>
      <w:r w:rsidRPr="00D10E5B">
        <w:t>Aunque hay múltiples causas, los diagnósticos apuntan crecientemente a un problema similar</w:t>
      </w:r>
      <w:r w:rsidR="006A7CCC">
        <w:t xml:space="preserve"> al que tenemos con la inversión en capital físico; la “permisología”. En efecto</w:t>
      </w:r>
      <w:r w:rsidR="008377D0">
        <w:t>, la creciente regulación del Estado en la educación</w:t>
      </w:r>
      <w:r w:rsidR="00EA557E">
        <w:t xml:space="preserve"> está generando una carga normativa que muchas veces raya en </w:t>
      </w:r>
      <w:r w:rsidR="00EA557E">
        <w:lastRenderedPageBreak/>
        <w:t>el absurdo</w:t>
      </w:r>
      <w:r w:rsidR="00445B7F">
        <w:t>.</w:t>
      </w:r>
      <w:r w:rsidR="008F0AC4">
        <w:t xml:space="preserve"> </w:t>
      </w:r>
      <w:r w:rsidR="00B57C06" w:rsidRPr="00B57C06">
        <w:t>Demasiadas veces los instrumentos pasan a ser metas, impidiendo que el proceso educativo se dé en un contexto de autoridad</w:t>
      </w:r>
      <w:r w:rsidR="005C71FC">
        <w:t xml:space="preserve"> y</w:t>
      </w:r>
      <w:r w:rsidR="00B57C06" w:rsidRPr="00B57C06">
        <w:t xml:space="preserve"> disciplina</w:t>
      </w:r>
      <w:r w:rsidR="005C71FC">
        <w:t>,</w:t>
      </w:r>
      <w:r w:rsidR="00B57C06" w:rsidRPr="00B57C06">
        <w:t xml:space="preserve"> </w:t>
      </w:r>
      <w:r w:rsidR="005C71FC">
        <w:t>con</w:t>
      </w:r>
      <w:r w:rsidR="00B57C06" w:rsidRPr="00B57C06">
        <w:t xml:space="preserve"> la autonomía necesaria para que las instituciones y los profesores transformen mentes y corazones</w:t>
      </w:r>
      <w:r w:rsidR="009F417B">
        <w:t xml:space="preserve">. </w:t>
      </w:r>
      <w:r w:rsidR="0028425A">
        <w:t xml:space="preserve">En definitiva, el </w:t>
      </w:r>
      <w:r w:rsidR="00347F12">
        <w:t xml:space="preserve">principio constitucional </w:t>
      </w:r>
      <w:r w:rsidR="00B24296">
        <w:t xml:space="preserve">de libertad de educación se encuentra en la práctica excesivamente </w:t>
      </w:r>
      <w:r w:rsidR="00C74158">
        <w:t>regulado e intervenido</w:t>
      </w:r>
      <w:r w:rsidR="007D63C7">
        <w:t xml:space="preserve">. </w:t>
      </w:r>
    </w:p>
    <w:p w14:paraId="66DE6BC1" w14:textId="43E99CF8" w:rsidR="00552833" w:rsidRDefault="00552833" w:rsidP="00340764">
      <w:pPr>
        <w:jc w:val="both"/>
      </w:pPr>
      <w:r>
        <w:t xml:space="preserve">Es tan densa la </w:t>
      </w:r>
      <w:r w:rsidR="007F6648">
        <w:t>regulación</w:t>
      </w:r>
      <w:r>
        <w:t xml:space="preserve"> </w:t>
      </w:r>
      <w:r w:rsidR="00727E9C">
        <w:t>educativa</w:t>
      </w:r>
      <w:r w:rsidR="00AA4822">
        <w:t xml:space="preserve">, que hace dos años atrás el MINEDUC publicó </w:t>
      </w:r>
      <w:r w:rsidR="007400A9">
        <w:t xml:space="preserve">una guía, que en 200 páginas “resume” </w:t>
      </w:r>
      <w:r w:rsidR="00F32768">
        <w:t xml:space="preserve">la carga administrativa </w:t>
      </w:r>
      <w:r w:rsidR="00D832D8">
        <w:t xml:space="preserve">de los directores. </w:t>
      </w:r>
      <w:r w:rsidR="0014358B" w:rsidRPr="0014358B">
        <w:t xml:space="preserve">La actual normativa educacional tiene </w:t>
      </w:r>
      <w:r w:rsidR="0014358B">
        <w:t>casi tres mil</w:t>
      </w:r>
      <w:r w:rsidR="0014358B" w:rsidRPr="0014358B">
        <w:t xml:space="preserve"> obligaciones, en un reglamento </w:t>
      </w:r>
      <w:r w:rsidR="0014358B">
        <w:t>inorgánico</w:t>
      </w:r>
      <w:r w:rsidR="0014358B" w:rsidRPr="0014358B">
        <w:t xml:space="preserve">, donde son muy habituales las redundancias </w:t>
      </w:r>
      <w:r w:rsidR="0014358B">
        <w:t xml:space="preserve">y contradicciones. </w:t>
      </w:r>
      <w:r w:rsidR="006F7FC7">
        <w:t>Hace ya siete años,</w:t>
      </w:r>
      <w:r w:rsidR="00303E1D">
        <w:t xml:space="preserve"> Educación 2020 </w:t>
      </w:r>
      <w:r w:rsidR="006F7FC7">
        <w:t>publicó un estudio</w:t>
      </w:r>
      <w:r w:rsidR="00303E1D">
        <w:t xml:space="preserve">, cuyo título lo dice todo: </w:t>
      </w:r>
      <w:r w:rsidR="00340764">
        <w:t>“Menos carga administrativa, más calidad educativa”</w:t>
      </w:r>
      <w:r w:rsidR="000B78D8">
        <w:t xml:space="preserve">, donde se plantea </w:t>
      </w:r>
      <w:r w:rsidR="000B78D8" w:rsidRPr="000B78D8">
        <w:t xml:space="preserve">que </w:t>
      </w:r>
      <w:r w:rsidR="000B78D8">
        <w:t>“</w:t>
      </w:r>
      <w:r w:rsidR="000B78D8" w:rsidRPr="000B78D8">
        <w:t>uno de los principales desafíos para avanzar en calidad educativa es la excesiva carga administrativa que afrontan nuestros equipos directivos</w:t>
      </w:r>
      <w:r w:rsidR="00A778D2">
        <w:t xml:space="preserve">”. Lo grave es que desde ese año el </w:t>
      </w:r>
      <w:r w:rsidR="00176C1C">
        <w:t xml:space="preserve">problema ha seguido creciendo. </w:t>
      </w:r>
    </w:p>
    <w:p w14:paraId="49491501" w14:textId="2ECA25DE" w:rsidR="003515A4" w:rsidRDefault="003515A4" w:rsidP="00340764">
      <w:pPr>
        <w:jc w:val="both"/>
      </w:pPr>
      <w:r>
        <w:t xml:space="preserve">Lograr mejores resultados en la educación escolar, principalmente en los primeros años, es </w:t>
      </w:r>
      <w:r w:rsidR="00041CC3">
        <w:t>el camino más rentable en pro de mayor crecimiento y equidad. La tarea es compleja y de largo aliento</w:t>
      </w:r>
      <w:r w:rsidR="00620B55">
        <w:t xml:space="preserve">, pero la buena noticia es que, al igual como ha ocurrido </w:t>
      </w:r>
      <w:r w:rsidR="00B54953">
        <w:t xml:space="preserve">con la necesidad de recuperar la </w:t>
      </w:r>
      <w:r w:rsidR="00620BB7">
        <w:t>formación de capital físico a través de un rol habilitador y no entorpecedor del Estado</w:t>
      </w:r>
      <w:r w:rsidR="00C9246A">
        <w:t>, es creciente el consenso sobre la neces</w:t>
      </w:r>
      <w:r w:rsidR="00C6701E">
        <w:t xml:space="preserve">idad de una reforma educacional que </w:t>
      </w:r>
      <w:r w:rsidR="00853C73">
        <w:t>atenúe el rol interventor del Estado</w:t>
      </w:r>
      <w:r w:rsidR="001E4C23">
        <w:t>, que ha generado enormes costos sin un beneficio claro</w:t>
      </w:r>
      <w:r w:rsidR="00E6659C">
        <w:t>.</w:t>
      </w:r>
    </w:p>
    <w:p w14:paraId="200F269F" w14:textId="5E73384F" w:rsidR="00E6659C" w:rsidRDefault="00DA69C6" w:rsidP="00340764">
      <w:pPr>
        <w:jc w:val="both"/>
      </w:pPr>
      <w:r w:rsidRPr="00DA69C6">
        <w:t>El gobierno recién elegido se ha definido como una administración de emergencia, lo que parece necesario, dado el problema de inseguridad, la falta de empleo y el deterioro fiscal</w:t>
      </w:r>
      <w:r>
        <w:t xml:space="preserve"> </w:t>
      </w:r>
      <w:r w:rsidR="00082E85">
        <w:t xml:space="preserve">¿Debe </w:t>
      </w:r>
      <w:r w:rsidR="00D2070F">
        <w:t>ser</w:t>
      </w:r>
      <w:r w:rsidR="00082E85">
        <w:t xml:space="preserve"> la política educacional</w:t>
      </w:r>
      <w:r w:rsidR="00D2070F">
        <w:t xml:space="preserve"> parte de</w:t>
      </w:r>
      <w:r w:rsidR="00082E85">
        <w:t xml:space="preserve"> </w:t>
      </w:r>
      <w:r w:rsidR="003A0EF7">
        <w:t xml:space="preserve">esa emergencia? Al menos sería importante </w:t>
      </w:r>
      <w:r w:rsidR="001A3F74">
        <w:t xml:space="preserve">tomar esos consensos existentes </w:t>
      </w:r>
      <w:r w:rsidR="007C7D0A">
        <w:t>para iniciar gradualmente un proceso de cambios</w:t>
      </w:r>
      <w:r w:rsidR="0007067B">
        <w:t xml:space="preserve">. </w:t>
      </w:r>
      <w:r w:rsidR="00D2070F">
        <w:t>A no olvidar:</w:t>
      </w:r>
      <w:r w:rsidR="0007067B">
        <w:t xml:space="preserve"> “gobernar es educar”. </w:t>
      </w:r>
    </w:p>
    <w:p w14:paraId="196E2CDF" w14:textId="77777777" w:rsidR="00453627" w:rsidRDefault="00453627" w:rsidP="00EB34DD">
      <w:pPr>
        <w:jc w:val="both"/>
        <w:rPr>
          <w:lang w:val="es-ES"/>
        </w:rPr>
      </w:pPr>
    </w:p>
    <w:p w14:paraId="76455416" w14:textId="77777777" w:rsidR="00453627" w:rsidRDefault="00453627" w:rsidP="00EB34DD">
      <w:pPr>
        <w:jc w:val="both"/>
        <w:rPr>
          <w:lang w:val="es-ES"/>
        </w:rPr>
      </w:pPr>
    </w:p>
    <w:p w14:paraId="02116FFA" w14:textId="5A69B3FE" w:rsidR="00D0427D" w:rsidRPr="00D0427D" w:rsidRDefault="00D0427D" w:rsidP="00EB34DD">
      <w:pPr>
        <w:jc w:val="both"/>
        <w:rPr>
          <w:lang w:val="es-ES"/>
        </w:rPr>
      </w:pPr>
    </w:p>
    <w:sectPr w:rsidR="00D0427D" w:rsidRPr="00D042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7D"/>
    <w:rsid w:val="0000399F"/>
    <w:rsid w:val="000063D4"/>
    <w:rsid w:val="00014442"/>
    <w:rsid w:val="00024639"/>
    <w:rsid w:val="00041CC3"/>
    <w:rsid w:val="000420F1"/>
    <w:rsid w:val="0007067B"/>
    <w:rsid w:val="00082E85"/>
    <w:rsid w:val="000B78D8"/>
    <w:rsid w:val="0014358B"/>
    <w:rsid w:val="00145CD2"/>
    <w:rsid w:val="00155D50"/>
    <w:rsid w:val="00176C1C"/>
    <w:rsid w:val="001813F2"/>
    <w:rsid w:val="00197037"/>
    <w:rsid w:val="001A3F74"/>
    <w:rsid w:val="001B51F9"/>
    <w:rsid w:val="001C3102"/>
    <w:rsid w:val="001E3AB2"/>
    <w:rsid w:val="001E4C23"/>
    <w:rsid w:val="00273393"/>
    <w:rsid w:val="0028425A"/>
    <w:rsid w:val="002A1AC7"/>
    <w:rsid w:val="002D136A"/>
    <w:rsid w:val="00303E1D"/>
    <w:rsid w:val="0033391A"/>
    <w:rsid w:val="00340764"/>
    <w:rsid w:val="00347F12"/>
    <w:rsid w:val="003515A4"/>
    <w:rsid w:val="00362703"/>
    <w:rsid w:val="00366595"/>
    <w:rsid w:val="003666FB"/>
    <w:rsid w:val="003A0EF7"/>
    <w:rsid w:val="003C257C"/>
    <w:rsid w:val="00405610"/>
    <w:rsid w:val="00422C97"/>
    <w:rsid w:val="00424ECA"/>
    <w:rsid w:val="00445B7F"/>
    <w:rsid w:val="00453627"/>
    <w:rsid w:val="00476703"/>
    <w:rsid w:val="004F0B5E"/>
    <w:rsid w:val="00552833"/>
    <w:rsid w:val="0055419B"/>
    <w:rsid w:val="00564945"/>
    <w:rsid w:val="0059657D"/>
    <w:rsid w:val="005979E0"/>
    <w:rsid w:val="005C4F58"/>
    <w:rsid w:val="005C71FC"/>
    <w:rsid w:val="005E2DBC"/>
    <w:rsid w:val="00620B55"/>
    <w:rsid w:val="00620BB7"/>
    <w:rsid w:val="00626CB6"/>
    <w:rsid w:val="00654D69"/>
    <w:rsid w:val="006A7CCC"/>
    <w:rsid w:val="006B34A1"/>
    <w:rsid w:val="006C0077"/>
    <w:rsid w:val="006D3119"/>
    <w:rsid w:val="006F7FC7"/>
    <w:rsid w:val="007032FF"/>
    <w:rsid w:val="00727E9C"/>
    <w:rsid w:val="007377FC"/>
    <w:rsid w:val="007400A9"/>
    <w:rsid w:val="00751625"/>
    <w:rsid w:val="00752C08"/>
    <w:rsid w:val="007537D4"/>
    <w:rsid w:val="00777549"/>
    <w:rsid w:val="00781F67"/>
    <w:rsid w:val="007A257D"/>
    <w:rsid w:val="007A40AD"/>
    <w:rsid w:val="007B1925"/>
    <w:rsid w:val="007C7D0A"/>
    <w:rsid w:val="007D63C7"/>
    <w:rsid w:val="007F0D0C"/>
    <w:rsid w:val="007F4108"/>
    <w:rsid w:val="007F6648"/>
    <w:rsid w:val="00817B7D"/>
    <w:rsid w:val="008377D0"/>
    <w:rsid w:val="00837B86"/>
    <w:rsid w:val="00842991"/>
    <w:rsid w:val="00852380"/>
    <w:rsid w:val="00853C73"/>
    <w:rsid w:val="00856287"/>
    <w:rsid w:val="00856F1E"/>
    <w:rsid w:val="008E3612"/>
    <w:rsid w:val="008F0AC4"/>
    <w:rsid w:val="00931830"/>
    <w:rsid w:val="00940187"/>
    <w:rsid w:val="00942884"/>
    <w:rsid w:val="0094440B"/>
    <w:rsid w:val="009914F3"/>
    <w:rsid w:val="00991F46"/>
    <w:rsid w:val="009D2D3C"/>
    <w:rsid w:val="009F417B"/>
    <w:rsid w:val="00A04364"/>
    <w:rsid w:val="00A23417"/>
    <w:rsid w:val="00A311DE"/>
    <w:rsid w:val="00A323E6"/>
    <w:rsid w:val="00A778D2"/>
    <w:rsid w:val="00AA4822"/>
    <w:rsid w:val="00AE3501"/>
    <w:rsid w:val="00AE76AC"/>
    <w:rsid w:val="00AF36C6"/>
    <w:rsid w:val="00B10A5E"/>
    <w:rsid w:val="00B24296"/>
    <w:rsid w:val="00B43588"/>
    <w:rsid w:val="00B512F0"/>
    <w:rsid w:val="00B54953"/>
    <w:rsid w:val="00B57C06"/>
    <w:rsid w:val="00B70CF4"/>
    <w:rsid w:val="00B82A03"/>
    <w:rsid w:val="00BA6131"/>
    <w:rsid w:val="00BC4FC7"/>
    <w:rsid w:val="00BD45EA"/>
    <w:rsid w:val="00C0780E"/>
    <w:rsid w:val="00C274FE"/>
    <w:rsid w:val="00C37179"/>
    <w:rsid w:val="00C6701E"/>
    <w:rsid w:val="00C74158"/>
    <w:rsid w:val="00C9246A"/>
    <w:rsid w:val="00CA0F68"/>
    <w:rsid w:val="00CD1489"/>
    <w:rsid w:val="00CF3C6C"/>
    <w:rsid w:val="00D0427D"/>
    <w:rsid w:val="00D10E5B"/>
    <w:rsid w:val="00D17DE2"/>
    <w:rsid w:val="00D2070F"/>
    <w:rsid w:val="00D2510B"/>
    <w:rsid w:val="00D41BC9"/>
    <w:rsid w:val="00D832D8"/>
    <w:rsid w:val="00D84E56"/>
    <w:rsid w:val="00DA69C6"/>
    <w:rsid w:val="00DB6D20"/>
    <w:rsid w:val="00DB7C40"/>
    <w:rsid w:val="00E114DE"/>
    <w:rsid w:val="00E165D8"/>
    <w:rsid w:val="00E44568"/>
    <w:rsid w:val="00E6659C"/>
    <w:rsid w:val="00E67FBC"/>
    <w:rsid w:val="00EA557E"/>
    <w:rsid w:val="00EB34DD"/>
    <w:rsid w:val="00EF0BC5"/>
    <w:rsid w:val="00F32768"/>
    <w:rsid w:val="00F84685"/>
    <w:rsid w:val="00FB3F1F"/>
    <w:rsid w:val="00FD0E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F129"/>
  <w15:chartTrackingRefBased/>
  <w15:docId w15:val="{7B4B38BD-408C-4022-9028-F1674BB5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04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4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42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42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42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42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42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42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42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42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42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42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42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42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42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42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42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427D"/>
    <w:rPr>
      <w:rFonts w:eastAsiaTheme="majorEastAsia" w:cstheme="majorBidi"/>
      <w:color w:val="272727" w:themeColor="text1" w:themeTint="D8"/>
    </w:rPr>
  </w:style>
  <w:style w:type="paragraph" w:styleId="Ttulo">
    <w:name w:val="Title"/>
    <w:basedOn w:val="Normal"/>
    <w:next w:val="Normal"/>
    <w:link w:val="TtuloCar"/>
    <w:uiPriority w:val="10"/>
    <w:qFormat/>
    <w:rsid w:val="00D04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42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42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42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427D"/>
    <w:pPr>
      <w:spacing w:before="160"/>
      <w:jc w:val="center"/>
    </w:pPr>
    <w:rPr>
      <w:i/>
      <w:iCs/>
      <w:color w:val="404040" w:themeColor="text1" w:themeTint="BF"/>
    </w:rPr>
  </w:style>
  <w:style w:type="character" w:customStyle="1" w:styleId="CitaCar">
    <w:name w:val="Cita Car"/>
    <w:basedOn w:val="Fuentedeprrafopredeter"/>
    <w:link w:val="Cita"/>
    <w:uiPriority w:val="29"/>
    <w:rsid w:val="00D0427D"/>
    <w:rPr>
      <w:i/>
      <w:iCs/>
      <w:color w:val="404040" w:themeColor="text1" w:themeTint="BF"/>
    </w:rPr>
  </w:style>
  <w:style w:type="paragraph" w:styleId="Prrafodelista">
    <w:name w:val="List Paragraph"/>
    <w:basedOn w:val="Normal"/>
    <w:uiPriority w:val="34"/>
    <w:qFormat/>
    <w:rsid w:val="00D0427D"/>
    <w:pPr>
      <w:ind w:left="720"/>
      <w:contextualSpacing/>
    </w:pPr>
  </w:style>
  <w:style w:type="character" w:styleId="nfasisintenso">
    <w:name w:val="Intense Emphasis"/>
    <w:basedOn w:val="Fuentedeprrafopredeter"/>
    <w:uiPriority w:val="21"/>
    <w:qFormat/>
    <w:rsid w:val="00D0427D"/>
    <w:rPr>
      <w:i/>
      <w:iCs/>
      <w:color w:val="0F4761" w:themeColor="accent1" w:themeShade="BF"/>
    </w:rPr>
  </w:style>
  <w:style w:type="paragraph" w:styleId="Citadestacada">
    <w:name w:val="Intense Quote"/>
    <w:basedOn w:val="Normal"/>
    <w:next w:val="Normal"/>
    <w:link w:val="CitadestacadaCar"/>
    <w:uiPriority w:val="30"/>
    <w:qFormat/>
    <w:rsid w:val="00D04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427D"/>
    <w:rPr>
      <w:i/>
      <w:iCs/>
      <w:color w:val="0F4761" w:themeColor="accent1" w:themeShade="BF"/>
    </w:rPr>
  </w:style>
  <w:style w:type="character" w:styleId="Referenciaintensa">
    <w:name w:val="Intense Reference"/>
    <w:basedOn w:val="Fuentedeprrafopredeter"/>
    <w:uiPriority w:val="32"/>
    <w:qFormat/>
    <w:rsid w:val="00D042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313</TotalTime>
  <Pages>2</Pages>
  <Words>721</Words>
  <Characters>3780</Characters>
  <Application>Microsoft Office Word</Application>
  <DocSecurity>0</DocSecurity>
  <Lines>60</Lines>
  <Paragraphs>9</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Cecilia Cifuentes Hurtado</dc:creator>
  <cp:keywords/>
  <dc:description/>
  <cp:lastModifiedBy>Maria Cecilia Cifuentes Hurtado</cp:lastModifiedBy>
  <cp:revision>141</cp:revision>
  <dcterms:created xsi:type="dcterms:W3CDTF">2025-12-22T11:51:00Z</dcterms:created>
  <dcterms:modified xsi:type="dcterms:W3CDTF">2025-12-22T17:27:00Z</dcterms:modified>
</cp:coreProperties>
</file>